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44" w:rsidRPr="0007075F" w:rsidRDefault="00CA1244" w:rsidP="00CA1244">
      <w:pPr>
        <w:pStyle w:val="Heading2"/>
        <w:numPr>
          <w:ilvl w:val="0"/>
          <w:numId w:val="0"/>
        </w:numPr>
        <w:jc w:val="both"/>
      </w:pPr>
      <w:bookmarkStart w:id="0" w:name="_Toc242180519"/>
      <w:r w:rsidRPr="0007075F">
        <w:rPr>
          <w:rFonts w:ascii="Times New Roman" w:hAnsi="Times New Roman" w:cs="Times New Roman"/>
          <w:sz w:val="24"/>
        </w:rPr>
        <w:t>C. IMPLEMENTATION</w:t>
      </w:r>
      <w:bookmarkEnd w:id="0"/>
      <w:r w:rsidRPr="0007075F">
        <w:rPr>
          <w:rFonts w:ascii="Times New Roman" w:hAnsi="Times New Roman" w:cs="Times New Roman"/>
          <w:sz w:val="24"/>
        </w:rPr>
        <w:t xml:space="preserve"> </w:t>
      </w:r>
    </w:p>
    <w:p w:rsidR="00CA1244" w:rsidRPr="0007075F" w:rsidRDefault="00CA1244" w:rsidP="00CA1244">
      <w:pPr>
        <w:pStyle w:val="Heading3"/>
        <w:numPr>
          <w:ilvl w:val="0"/>
          <w:numId w:val="0"/>
        </w:numPr>
        <w:ind w:left="288"/>
        <w:jc w:val="both"/>
        <w:rPr>
          <w:rFonts w:ascii="Times New Roman" w:hAnsi="Times New Roman" w:cs="Times New Roman"/>
          <w:sz w:val="24"/>
        </w:rPr>
      </w:pPr>
      <w:bookmarkStart w:id="1" w:name="_Toc237853525"/>
      <w:bookmarkStart w:id="2" w:name="_Toc242180520"/>
      <w:r w:rsidRPr="0007075F">
        <w:rPr>
          <w:rFonts w:ascii="Times New Roman" w:hAnsi="Times New Roman" w:cs="Times New Roman"/>
          <w:sz w:val="24"/>
        </w:rPr>
        <w:t xml:space="preserve">1. Institutional and </w:t>
      </w:r>
      <w:r>
        <w:rPr>
          <w:rFonts w:ascii="Times New Roman" w:hAnsi="Times New Roman" w:cs="Times New Roman"/>
          <w:sz w:val="24"/>
        </w:rPr>
        <w:t>I</w:t>
      </w:r>
      <w:r w:rsidRPr="0007075F">
        <w:rPr>
          <w:rFonts w:ascii="Times New Roman" w:hAnsi="Times New Roman" w:cs="Times New Roman"/>
          <w:sz w:val="24"/>
        </w:rPr>
        <w:t xml:space="preserve">mplementation </w:t>
      </w:r>
      <w:r>
        <w:rPr>
          <w:rFonts w:ascii="Times New Roman" w:hAnsi="Times New Roman" w:cs="Times New Roman"/>
          <w:sz w:val="24"/>
        </w:rPr>
        <w:t>A</w:t>
      </w:r>
      <w:r w:rsidRPr="0007075F">
        <w:rPr>
          <w:rFonts w:ascii="Times New Roman" w:hAnsi="Times New Roman" w:cs="Times New Roman"/>
          <w:sz w:val="24"/>
        </w:rPr>
        <w:t>rrangements</w:t>
      </w:r>
      <w:bookmarkEnd w:id="1"/>
      <w:bookmarkEnd w:id="2"/>
    </w:p>
    <w:p w:rsidR="00CA1244" w:rsidRDefault="00CA1244" w:rsidP="00CA1244">
      <w:pPr>
        <w:autoSpaceDE w:val="0"/>
        <w:autoSpaceDN w:val="0"/>
        <w:adjustRightInd w:val="0"/>
        <w:jc w:val="both"/>
      </w:pPr>
    </w:p>
    <w:p w:rsidR="00CA1244" w:rsidRDefault="00CA1244" w:rsidP="00CA1244">
      <w:pPr>
        <w:numPr>
          <w:ilvl w:val="0"/>
          <w:numId w:val="2"/>
        </w:numPr>
        <w:autoSpaceDE w:val="0"/>
        <w:autoSpaceDN w:val="0"/>
        <w:adjustRightInd w:val="0"/>
        <w:jc w:val="both"/>
      </w:pPr>
      <w:r w:rsidRPr="00B24E48">
        <w:rPr>
          <w:b/>
        </w:rPr>
        <w:t>Current Institutional Framework</w:t>
      </w:r>
      <w:r w:rsidRPr="008C5BE2">
        <w:rPr>
          <w:b/>
        </w:rPr>
        <w:t xml:space="preserve">: </w:t>
      </w:r>
      <w:r>
        <w:t xml:space="preserve">Helvetas, an international NGO, is currently the </w:t>
      </w:r>
      <w:r w:rsidRPr="0017626B">
        <w:t>implementing agency for the multi</w:t>
      </w:r>
      <w:r>
        <w:t>-</w:t>
      </w:r>
      <w:r w:rsidRPr="0017626B">
        <w:t>donor</w:t>
      </w:r>
      <w:r>
        <w:t xml:space="preserve"> </w:t>
      </w:r>
      <w:r w:rsidRPr="0017626B">
        <w:t xml:space="preserve">funded EF that receives </w:t>
      </w:r>
      <w:r>
        <w:t xml:space="preserve">support </w:t>
      </w:r>
      <w:r w:rsidRPr="0017626B">
        <w:t xml:space="preserve">from the SDC and </w:t>
      </w:r>
      <w:r>
        <w:t xml:space="preserve">the </w:t>
      </w:r>
      <w:r w:rsidRPr="0017626B">
        <w:t xml:space="preserve">DFID and serves as the </w:t>
      </w:r>
      <w:r>
        <w:t>EFS</w:t>
      </w:r>
      <w:r w:rsidRPr="0017626B">
        <w:t xml:space="preserve">. The EF </w:t>
      </w:r>
      <w:r>
        <w:t xml:space="preserve">and the EFS </w:t>
      </w:r>
      <w:r w:rsidRPr="0017626B">
        <w:t>operate under the overall guidance and oversight of the EF</w:t>
      </w:r>
      <w:r>
        <w:t>SC</w:t>
      </w:r>
      <w:r w:rsidRPr="0017626B">
        <w:t xml:space="preserve">.  The </w:t>
      </w:r>
      <w:r>
        <w:t xml:space="preserve">EFSC </w:t>
      </w:r>
      <w:r w:rsidRPr="0017626B">
        <w:t xml:space="preserve">is chaired by the </w:t>
      </w:r>
      <w:r>
        <w:t xml:space="preserve">Joint Secretary of the </w:t>
      </w:r>
      <w:r w:rsidRPr="0017626B">
        <w:t xml:space="preserve">MoE, with representation of other government </w:t>
      </w:r>
      <w:r>
        <w:t>agencies</w:t>
      </w:r>
      <w:r w:rsidRPr="0017626B">
        <w:t xml:space="preserve"> and </w:t>
      </w:r>
      <w:r>
        <w:t>development partners</w:t>
      </w:r>
      <w:r w:rsidRPr="0017626B">
        <w:t xml:space="preserve"> who contribute to the</w:t>
      </w:r>
      <w:r>
        <w:t xml:space="preserve"> EF</w:t>
      </w:r>
      <w:r w:rsidRPr="0017626B">
        <w:t xml:space="preserve">. </w:t>
      </w:r>
      <w:r>
        <w:t xml:space="preserve">General administrative and fiduciary procedures of Helvetas are applied for managing the EF activities, and the EFSC approved in 2008 the EF Operating Guidelines.  The current institutional framework for the EF is depicted in Figure 1 below. </w:t>
      </w:r>
    </w:p>
    <w:p w:rsidR="00CA1244" w:rsidRDefault="00CA1244" w:rsidP="00CA1244">
      <w:pPr>
        <w:autoSpaceDE w:val="0"/>
        <w:autoSpaceDN w:val="0"/>
        <w:adjustRightInd w:val="0"/>
        <w:jc w:val="both"/>
      </w:pPr>
    </w:p>
    <w:p w:rsidR="00CA1244" w:rsidRDefault="00CA1244" w:rsidP="00CA1244">
      <w:pPr>
        <w:autoSpaceDE w:val="0"/>
        <w:autoSpaceDN w:val="0"/>
        <w:adjustRightInd w:val="0"/>
        <w:jc w:val="both"/>
      </w:pPr>
      <w:r>
        <w:rPr>
          <w:noProof/>
        </w:rPr>
        <w:drawing>
          <wp:inline distT="0" distB="0" distL="0" distR="0" wp14:anchorId="0EB0CA4F" wp14:editId="2F4E01C1">
            <wp:extent cx="5486400" cy="3305175"/>
            <wp:effectExtent l="19050" t="0" r="0" b="0"/>
            <wp:docPr id="1" name="Picture 0" descr="Institutional 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stitutional Graph2.png"/>
                    <pic:cNvPicPr>
                      <a:picLocks noChangeAspect="1" noChangeArrowheads="1"/>
                    </pic:cNvPicPr>
                  </pic:nvPicPr>
                  <pic:blipFill>
                    <a:blip r:embed="rId8"/>
                    <a:srcRect/>
                    <a:stretch>
                      <a:fillRect/>
                    </a:stretch>
                  </pic:blipFill>
                  <pic:spPr bwMode="auto">
                    <a:xfrm>
                      <a:off x="0" y="0"/>
                      <a:ext cx="5486400" cy="3305175"/>
                    </a:xfrm>
                    <a:prstGeom prst="rect">
                      <a:avLst/>
                    </a:prstGeom>
                    <a:noFill/>
                    <a:ln w="9525">
                      <a:noFill/>
                      <a:miter lim="800000"/>
                      <a:headEnd/>
                      <a:tailEnd/>
                    </a:ln>
                  </pic:spPr>
                </pic:pic>
              </a:graphicData>
            </a:graphic>
          </wp:inline>
        </w:drawing>
      </w:r>
    </w:p>
    <w:p w:rsidR="00CA1244" w:rsidRPr="000B7264" w:rsidRDefault="00CA1244" w:rsidP="00CA1244">
      <w:pPr>
        <w:pStyle w:val="Caption"/>
        <w:jc w:val="center"/>
        <w:rPr>
          <w:b w:val="0"/>
          <w:color w:val="auto"/>
        </w:rPr>
      </w:pPr>
      <w:r w:rsidRPr="000B7264">
        <w:rPr>
          <w:color w:val="auto"/>
        </w:rPr>
        <w:t xml:space="preserve">Figure </w:t>
      </w:r>
      <w:r w:rsidRPr="000B7264">
        <w:rPr>
          <w:color w:val="auto"/>
        </w:rPr>
        <w:fldChar w:fldCharType="begin"/>
      </w:r>
      <w:r w:rsidRPr="000B7264">
        <w:rPr>
          <w:color w:val="auto"/>
        </w:rPr>
        <w:instrText xml:space="preserve"> SEQ Figure \* ARABIC </w:instrText>
      </w:r>
      <w:r w:rsidRPr="000B7264">
        <w:rPr>
          <w:color w:val="auto"/>
        </w:rPr>
        <w:fldChar w:fldCharType="separate"/>
      </w:r>
      <w:r>
        <w:rPr>
          <w:noProof/>
          <w:color w:val="auto"/>
        </w:rPr>
        <w:t>1</w:t>
      </w:r>
      <w:r w:rsidRPr="000B7264">
        <w:rPr>
          <w:color w:val="auto"/>
        </w:rPr>
        <w:fldChar w:fldCharType="end"/>
      </w:r>
      <w:r w:rsidRPr="000B7264">
        <w:rPr>
          <w:color w:val="auto"/>
        </w:rPr>
        <w:t>. Institutional Model of the Employment Fund</w:t>
      </w:r>
    </w:p>
    <w:p w:rsidR="00CA1244" w:rsidRDefault="00CA1244" w:rsidP="00CA1244">
      <w:pPr>
        <w:autoSpaceDE w:val="0"/>
        <w:autoSpaceDN w:val="0"/>
        <w:adjustRightInd w:val="0"/>
        <w:jc w:val="both"/>
      </w:pPr>
    </w:p>
    <w:p w:rsidR="00CA1244" w:rsidRDefault="00CA1244" w:rsidP="00CA1244">
      <w:pPr>
        <w:numPr>
          <w:ilvl w:val="0"/>
          <w:numId w:val="2"/>
        </w:numPr>
        <w:autoSpaceDE w:val="0"/>
        <w:autoSpaceDN w:val="0"/>
        <w:adjustRightInd w:val="0"/>
        <w:jc w:val="both"/>
      </w:pPr>
      <w:r w:rsidRPr="00B24E48">
        <w:rPr>
          <w:b/>
        </w:rPr>
        <w:t>Implementing Agency</w:t>
      </w:r>
      <w:r w:rsidRPr="008C5BE2">
        <w:rPr>
          <w:b/>
        </w:rPr>
        <w:t>:</w:t>
      </w:r>
      <w:r>
        <w:t xml:space="preserve"> </w:t>
      </w:r>
      <w:r w:rsidRPr="0042413A">
        <w:t xml:space="preserve">The AGEI </w:t>
      </w:r>
      <w:r w:rsidRPr="0007075F">
        <w:t xml:space="preserve">will </w:t>
      </w:r>
      <w:r>
        <w:t>build on the existing</w:t>
      </w:r>
      <w:r w:rsidRPr="0007075F">
        <w:t xml:space="preserve"> </w:t>
      </w:r>
      <w:r>
        <w:t xml:space="preserve">implementation arrangements </w:t>
      </w:r>
      <w:r w:rsidRPr="0007075F">
        <w:t>of the EF</w:t>
      </w:r>
      <w:r>
        <w:t xml:space="preserve"> with some modifications. These</w:t>
      </w:r>
      <w:r w:rsidRPr="0007075F">
        <w:t xml:space="preserve"> </w:t>
      </w:r>
      <w:r>
        <w:t xml:space="preserve">implementation arrangements have </w:t>
      </w:r>
      <w:r w:rsidRPr="0007075F">
        <w:t xml:space="preserve">already been tested and found suitable by the SDC and </w:t>
      </w:r>
      <w:r>
        <w:t xml:space="preserve">the </w:t>
      </w:r>
      <w:r w:rsidRPr="0007075F">
        <w:t xml:space="preserve">DFID. </w:t>
      </w:r>
      <w:r>
        <w:t>The Bank conducted a detailed assessment and concluded that the existing arrangements provide a sound basis for implementing the AGEI.  To this end, with concurrence from the GoN, Helvetas will be charged with overall AGEI implementation as the implementing agency, and AGEI funding will be provided as a Recipient Executed Trust Fund Grant to Helvetas.</w:t>
      </w:r>
    </w:p>
    <w:p w:rsidR="00CA1244" w:rsidRPr="00B24E48" w:rsidRDefault="00CA1244" w:rsidP="00CA1244">
      <w:pPr>
        <w:autoSpaceDE w:val="0"/>
        <w:autoSpaceDN w:val="0"/>
        <w:adjustRightInd w:val="0"/>
        <w:jc w:val="both"/>
      </w:pPr>
    </w:p>
    <w:p w:rsidR="00CA1244" w:rsidRDefault="00CA1244" w:rsidP="00CA1244">
      <w:pPr>
        <w:numPr>
          <w:ilvl w:val="0"/>
          <w:numId w:val="2"/>
        </w:numPr>
        <w:tabs>
          <w:tab w:val="left" w:pos="540"/>
        </w:tabs>
        <w:jc w:val="both"/>
      </w:pPr>
      <w:r>
        <w:rPr>
          <w:b/>
        </w:rPr>
        <w:t xml:space="preserve">  </w:t>
      </w:r>
      <w:r w:rsidRPr="00FF28A4">
        <w:rPr>
          <w:b/>
        </w:rPr>
        <w:t xml:space="preserve">Adaptation of the EF Guidelines: </w:t>
      </w:r>
      <w:r>
        <w:t>W</w:t>
      </w:r>
      <w:r w:rsidRPr="0007075F">
        <w:t>hil</w:t>
      </w:r>
      <w:r>
        <w:t>e</w:t>
      </w:r>
      <w:r w:rsidRPr="0007075F">
        <w:t xml:space="preserve"> ensuring that the AGEI grant is “earmarked” within the EF for agreed activi</w:t>
      </w:r>
      <w:r>
        <w:t xml:space="preserve">ties for the target beneficiaries, </w:t>
      </w:r>
      <w:r w:rsidRPr="0007075F">
        <w:t xml:space="preserve">the AGEI </w:t>
      </w:r>
      <w:r>
        <w:t xml:space="preserve"> </w:t>
      </w:r>
      <w:r w:rsidRPr="0007075F">
        <w:t>w</w:t>
      </w:r>
      <w:r>
        <w:t>ill</w:t>
      </w:r>
      <w:r w:rsidRPr="0007075F">
        <w:t xml:space="preserve"> work with</w:t>
      </w:r>
      <w:r>
        <w:t xml:space="preserve">in </w:t>
      </w:r>
      <w:r w:rsidRPr="0007075F">
        <w:t xml:space="preserve">the </w:t>
      </w:r>
      <w:r>
        <w:t xml:space="preserve">broad framework of the existing </w:t>
      </w:r>
      <w:r w:rsidRPr="0007075F">
        <w:t>EF Operati</w:t>
      </w:r>
      <w:r>
        <w:t>ng</w:t>
      </w:r>
      <w:r w:rsidRPr="0007075F">
        <w:t xml:space="preserve"> Guidelines</w:t>
      </w:r>
      <w:r>
        <w:t>. However, the guidelines will be</w:t>
      </w:r>
      <w:r w:rsidRPr="0007075F">
        <w:t xml:space="preserve"> </w:t>
      </w:r>
      <w:r w:rsidRPr="0007075F">
        <w:lastRenderedPageBreak/>
        <w:t>suitably modified</w:t>
      </w:r>
      <w:r>
        <w:t xml:space="preserve"> with the agreement of the EFS, the EFSC and Bank by project effectiveness</w:t>
      </w:r>
      <w:r w:rsidRPr="0007075F">
        <w:t>.</w:t>
      </w:r>
      <w:r>
        <w:rPr>
          <w:rStyle w:val="FootnoteReference"/>
        </w:rPr>
        <w:footnoteReference w:id="1"/>
      </w:r>
      <w:r w:rsidRPr="0007075F">
        <w:t xml:space="preserve"> This w</w:t>
      </w:r>
      <w:r>
        <w:t>ill</w:t>
      </w:r>
      <w:r w:rsidRPr="0007075F">
        <w:t xml:space="preserve"> help ensure that the AGEI</w:t>
      </w:r>
      <w:r>
        <w:t xml:space="preserve"> </w:t>
      </w:r>
      <w:r w:rsidRPr="0007075F">
        <w:t xml:space="preserve">supports the ongoing activities of </w:t>
      </w:r>
      <w:r>
        <w:t>t</w:t>
      </w:r>
      <w:r w:rsidRPr="0007075F">
        <w:t>he EF, while also contribu</w:t>
      </w:r>
      <w:r>
        <w:t xml:space="preserve">ting to strengthened </w:t>
      </w:r>
      <w:r w:rsidRPr="0007075F">
        <w:t xml:space="preserve">procedures </w:t>
      </w:r>
      <w:r>
        <w:t xml:space="preserve">and systems </w:t>
      </w:r>
      <w:r w:rsidRPr="0007075F">
        <w:t xml:space="preserve">within the EF and by its implementing partners. </w:t>
      </w:r>
    </w:p>
    <w:p w:rsidR="00CA1244" w:rsidRDefault="00CA1244" w:rsidP="00CA1244">
      <w:pPr>
        <w:tabs>
          <w:tab w:val="left" w:pos="540"/>
        </w:tabs>
        <w:jc w:val="both"/>
      </w:pPr>
    </w:p>
    <w:p w:rsidR="00CA1244" w:rsidRDefault="00CA1244" w:rsidP="00CA1244">
      <w:pPr>
        <w:pStyle w:val="FootnoteText"/>
        <w:numPr>
          <w:ilvl w:val="0"/>
          <w:numId w:val="2"/>
        </w:numPr>
        <w:tabs>
          <w:tab w:val="left" w:pos="540"/>
        </w:tabs>
        <w:jc w:val="both"/>
        <w:rPr>
          <w:sz w:val="24"/>
          <w:szCs w:val="24"/>
        </w:rPr>
      </w:pPr>
      <w:r>
        <w:rPr>
          <w:b/>
          <w:sz w:val="24"/>
          <w:szCs w:val="24"/>
        </w:rPr>
        <w:t xml:space="preserve">EF </w:t>
      </w:r>
      <w:r w:rsidRPr="00D53107">
        <w:rPr>
          <w:b/>
          <w:sz w:val="24"/>
          <w:szCs w:val="24"/>
        </w:rPr>
        <w:t>Steering</w:t>
      </w:r>
      <w:r w:rsidRPr="00AD30A7">
        <w:rPr>
          <w:b/>
          <w:sz w:val="24"/>
          <w:szCs w:val="24"/>
        </w:rPr>
        <w:t xml:space="preserve"> </w:t>
      </w:r>
      <w:r w:rsidRPr="00DA2F15">
        <w:rPr>
          <w:b/>
          <w:sz w:val="24"/>
          <w:szCs w:val="24"/>
        </w:rPr>
        <w:t>Committee</w:t>
      </w:r>
      <w:r>
        <w:rPr>
          <w:b/>
          <w:sz w:val="24"/>
          <w:szCs w:val="24"/>
        </w:rPr>
        <w:t>:</w:t>
      </w:r>
      <w:r>
        <w:rPr>
          <w:sz w:val="24"/>
          <w:szCs w:val="24"/>
        </w:rPr>
        <w:t xml:space="preserve"> As stated above, t</w:t>
      </w:r>
      <w:r w:rsidRPr="0083717D">
        <w:rPr>
          <w:sz w:val="24"/>
          <w:szCs w:val="24"/>
        </w:rPr>
        <w:t xml:space="preserve">he EFSC </w:t>
      </w:r>
      <w:r>
        <w:rPr>
          <w:sz w:val="24"/>
          <w:szCs w:val="24"/>
        </w:rPr>
        <w:t xml:space="preserve">is chaired by the Joint Secretary of the MoE and includes representation from other government agencies, private sector representatives and development partners.  It </w:t>
      </w:r>
      <w:r w:rsidRPr="0083717D">
        <w:rPr>
          <w:sz w:val="24"/>
          <w:szCs w:val="24"/>
        </w:rPr>
        <w:t xml:space="preserve">will provide strategic, high-level oversight and guidance to </w:t>
      </w:r>
      <w:r>
        <w:rPr>
          <w:sz w:val="24"/>
          <w:szCs w:val="24"/>
        </w:rPr>
        <w:t xml:space="preserve">the </w:t>
      </w:r>
      <w:r w:rsidRPr="0083717D">
        <w:rPr>
          <w:sz w:val="24"/>
          <w:szCs w:val="24"/>
        </w:rPr>
        <w:t>AGEI implementation</w:t>
      </w:r>
      <w:r>
        <w:rPr>
          <w:sz w:val="24"/>
          <w:szCs w:val="24"/>
        </w:rPr>
        <w:t>;</w:t>
      </w:r>
      <w:r w:rsidRPr="0083717D">
        <w:rPr>
          <w:sz w:val="24"/>
          <w:szCs w:val="24"/>
        </w:rPr>
        <w:t xml:space="preserve"> review, advi</w:t>
      </w:r>
      <w:r>
        <w:rPr>
          <w:sz w:val="24"/>
          <w:szCs w:val="24"/>
        </w:rPr>
        <w:t>se</w:t>
      </w:r>
      <w:r w:rsidRPr="0083717D">
        <w:rPr>
          <w:sz w:val="24"/>
          <w:szCs w:val="24"/>
        </w:rPr>
        <w:t xml:space="preserve"> on and approve annual work plans</w:t>
      </w:r>
      <w:r>
        <w:rPr>
          <w:sz w:val="24"/>
          <w:szCs w:val="24"/>
        </w:rPr>
        <w:t xml:space="preserve">, budgets </w:t>
      </w:r>
      <w:r w:rsidRPr="0083717D">
        <w:rPr>
          <w:sz w:val="24"/>
          <w:szCs w:val="24"/>
        </w:rPr>
        <w:t>and activities</w:t>
      </w:r>
      <w:r>
        <w:rPr>
          <w:sz w:val="24"/>
          <w:szCs w:val="24"/>
        </w:rPr>
        <w:t>;</w:t>
      </w:r>
      <w:r w:rsidRPr="0083717D">
        <w:rPr>
          <w:sz w:val="24"/>
          <w:szCs w:val="24"/>
        </w:rPr>
        <w:t xml:space="preserve"> review annual progress and performance based on systematic M&amp;E information</w:t>
      </w:r>
      <w:r>
        <w:rPr>
          <w:sz w:val="24"/>
          <w:szCs w:val="24"/>
        </w:rPr>
        <w:t>;</w:t>
      </w:r>
      <w:r w:rsidRPr="0083717D">
        <w:rPr>
          <w:sz w:val="24"/>
          <w:szCs w:val="24"/>
        </w:rPr>
        <w:t xml:space="preserve"> and address serious coordination, management and policy issues. </w:t>
      </w:r>
      <w:r w:rsidRPr="0083717D">
        <w:rPr>
          <w:color w:val="000000"/>
          <w:sz w:val="24"/>
          <w:szCs w:val="24"/>
        </w:rPr>
        <w:t>T</w:t>
      </w:r>
      <w:r>
        <w:rPr>
          <w:color w:val="000000"/>
          <w:sz w:val="24"/>
          <w:szCs w:val="24"/>
        </w:rPr>
        <w:t xml:space="preserve">he Bank </w:t>
      </w:r>
      <w:r w:rsidRPr="0083717D">
        <w:rPr>
          <w:color w:val="000000"/>
          <w:sz w:val="24"/>
          <w:szCs w:val="24"/>
        </w:rPr>
        <w:t xml:space="preserve">will </w:t>
      </w:r>
      <w:r>
        <w:rPr>
          <w:sz w:val="24"/>
          <w:szCs w:val="24"/>
        </w:rPr>
        <w:t>not be represented on the EFSC</w:t>
      </w:r>
      <w:r w:rsidRPr="0083717D">
        <w:rPr>
          <w:sz w:val="24"/>
          <w:szCs w:val="24"/>
        </w:rPr>
        <w:t xml:space="preserve"> to </w:t>
      </w:r>
      <w:r>
        <w:rPr>
          <w:sz w:val="24"/>
          <w:szCs w:val="24"/>
        </w:rPr>
        <w:t>maintain an arms length relationship from the implementation of the AGEI, given</w:t>
      </w:r>
      <w:r w:rsidRPr="0083717D">
        <w:rPr>
          <w:sz w:val="24"/>
          <w:szCs w:val="24"/>
        </w:rPr>
        <w:t xml:space="preserve"> its role in funding</w:t>
      </w:r>
      <w:r>
        <w:rPr>
          <w:sz w:val="24"/>
          <w:szCs w:val="24"/>
        </w:rPr>
        <w:t xml:space="preserve"> and </w:t>
      </w:r>
      <w:r w:rsidRPr="0083717D">
        <w:rPr>
          <w:sz w:val="24"/>
          <w:szCs w:val="24"/>
        </w:rPr>
        <w:t>supervising the activities of the AGEI.</w:t>
      </w:r>
      <w:r>
        <w:rPr>
          <w:sz w:val="24"/>
          <w:szCs w:val="24"/>
        </w:rPr>
        <w:t xml:space="preserve"> </w:t>
      </w:r>
      <w:r>
        <w:rPr>
          <w:rStyle w:val="FootnoteReference"/>
          <w:sz w:val="24"/>
          <w:szCs w:val="24"/>
        </w:rPr>
        <w:footnoteReference w:id="2"/>
      </w:r>
      <w:r>
        <w:rPr>
          <w:sz w:val="24"/>
          <w:szCs w:val="24"/>
        </w:rPr>
        <w:t xml:space="preserve">  </w:t>
      </w:r>
    </w:p>
    <w:p w:rsidR="00CA1244" w:rsidRDefault="00CA1244" w:rsidP="00CA1244">
      <w:pPr>
        <w:pStyle w:val="ListParagraph"/>
      </w:pPr>
    </w:p>
    <w:p w:rsidR="00CA1244" w:rsidRDefault="00CA1244" w:rsidP="00CA1244">
      <w:pPr>
        <w:pStyle w:val="FootnoteText"/>
        <w:numPr>
          <w:ilvl w:val="0"/>
          <w:numId w:val="2"/>
        </w:numPr>
        <w:tabs>
          <w:tab w:val="left" w:pos="540"/>
        </w:tabs>
        <w:jc w:val="both"/>
        <w:rPr>
          <w:sz w:val="24"/>
          <w:szCs w:val="24"/>
        </w:rPr>
      </w:pPr>
      <w:r>
        <w:rPr>
          <w:sz w:val="24"/>
          <w:szCs w:val="24"/>
        </w:rPr>
        <w:t xml:space="preserve">Wider coordination </w:t>
      </w:r>
      <w:r w:rsidRPr="000637DC">
        <w:rPr>
          <w:sz w:val="24"/>
          <w:szCs w:val="24"/>
        </w:rPr>
        <w:t>mechanisms include the SDC-hosted donor coordination group for vocational training and the newly established high-level GoN Committee for policy level coordination of the TEVT sector.  The latter is facilitated by the National Planning Commission. The EFSC is expected to participate in both of these groups.</w:t>
      </w:r>
    </w:p>
    <w:p w:rsidR="00CA1244" w:rsidRDefault="00CA1244" w:rsidP="00CA1244">
      <w:pPr>
        <w:pStyle w:val="ListParagraph"/>
      </w:pPr>
    </w:p>
    <w:p w:rsidR="00CA1244" w:rsidRDefault="00CA1244" w:rsidP="00CA1244">
      <w:pPr>
        <w:pStyle w:val="FootnoteText"/>
        <w:numPr>
          <w:ilvl w:val="0"/>
          <w:numId w:val="2"/>
        </w:numPr>
        <w:tabs>
          <w:tab w:val="left" w:pos="540"/>
        </w:tabs>
        <w:jc w:val="both"/>
        <w:rPr>
          <w:sz w:val="24"/>
          <w:szCs w:val="24"/>
        </w:rPr>
      </w:pPr>
      <w:r w:rsidRPr="000637DC">
        <w:rPr>
          <w:b/>
          <w:sz w:val="24"/>
          <w:szCs w:val="24"/>
        </w:rPr>
        <w:t>T&amp;E Providers</w:t>
      </w:r>
      <w:r>
        <w:rPr>
          <w:sz w:val="24"/>
          <w:szCs w:val="24"/>
        </w:rPr>
        <w:t xml:space="preserve">: </w:t>
      </w:r>
      <w:r w:rsidRPr="000637DC">
        <w:rPr>
          <w:sz w:val="24"/>
          <w:szCs w:val="24"/>
        </w:rPr>
        <w:t>At the frontline of the delivery of the AGEI will be the T&amp;E providers, selected and contracted by Helveta</w:t>
      </w:r>
      <w:r>
        <w:rPr>
          <w:sz w:val="24"/>
          <w:szCs w:val="24"/>
        </w:rPr>
        <w:t xml:space="preserve">s to provide technical and life </w:t>
      </w:r>
      <w:r w:rsidRPr="000637DC">
        <w:rPr>
          <w:sz w:val="24"/>
          <w:szCs w:val="24"/>
        </w:rPr>
        <w:t>skills training</w:t>
      </w:r>
      <w:r>
        <w:rPr>
          <w:sz w:val="24"/>
          <w:szCs w:val="24"/>
        </w:rPr>
        <w:t xml:space="preserve"> and to ensure job placement</w:t>
      </w:r>
      <w:r w:rsidRPr="000637DC">
        <w:rPr>
          <w:sz w:val="24"/>
          <w:szCs w:val="24"/>
        </w:rPr>
        <w:t xml:space="preserve">. The institutional arrangements between the EF and the T&amp;E providers will be guided by the EF Operating Guidelines. As per these guidelines, </w:t>
      </w:r>
      <w:r>
        <w:rPr>
          <w:sz w:val="24"/>
          <w:szCs w:val="24"/>
        </w:rPr>
        <w:t xml:space="preserve">the </w:t>
      </w:r>
      <w:r w:rsidRPr="000637DC">
        <w:rPr>
          <w:sz w:val="24"/>
          <w:szCs w:val="24"/>
        </w:rPr>
        <w:t xml:space="preserve">T&amp;E providers are selected through a competitive process in which proposals are screened for technical and financial criteria. Once selected, the T&amp;E providers bear the responsibility to do outreach, recruit and screen applicants, select participants, provide theoretical, practical, and on-the-job training, place trainees into jobs, follow up with trainees, conduct internal monitoring, and verify incomes of trainees after 3 and 6 months of training. The T&amp;E providers are compensated according to the number of students trained </w:t>
      </w:r>
      <w:r>
        <w:rPr>
          <w:sz w:val="24"/>
          <w:szCs w:val="24"/>
        </w:rPr>
        <w:t xml:space="preserve">and placed </w:t>
      </w:r>
      <w:r w:rsidRPr="000637DC">
        <w:rPr>
          <w:sz w:val="24"/>
          <w:szCs w:val="24"/>
        </w:rPr>
        <w:t xml:space="preserve">and receive </w:t>
      </w:r>
      <w:r>
        <w:rPr>
          <w:sz w:val="24"/>
          <w:szCs w:val="24"/>
        </w:rPr>
        <w:t xml:space="preserve">additional </w:t>
      </w:r>
      <w:r w:rsidRPr="000637DC">
        <w:rPr>
          <w:sz w:val="24"/>
          <w:szCs w:val="24"/>
        </w:rPr>
        <w:t>financial incentives to recruit from particular disadvantaged groups</w:t>
      </w:r>
      <w:r>
        <w:rPr>
          <w:sz w:val="24"/>
          <w:szCs w:val="24"/>
        </w:rPr>
        <w:t>.</w:t>
      </w:r>
    </w:p>
    <w:p w:rsidR="00CA1244" w:rsidRPr="000637DC" w:rsidRDefault="00CA1244" w:rsidP="00CA1244">
      <w:pPr>
        <w:rPr>
          <w:b/>
        </w:rPr>
      </w:pPr>
    </w:p>
    <w:p w:rsidR="00CA1244" w:rsidRPr="00C51F67" w:rsidRDefault="00CA1244" w:rsidP="00CA1244">
      <w:pPr>
        <w:pStyle w:val="FootnoteText"/>
        <w:numPr>
          <w:ilvl w:val="0"/>
          <w:numId w:val="2"/>
        </w:numPr>
        <w:tabs>
          <w:tab w:val="left" w:pos="540"/>
        </w:tabs>
        <w:jc w:val="both"/>
        <w:rPr>
          <w:sz w:val="24"/>
          <w:szCs w:val="24"/>
        </w:rPr>
      </w:pPr>
      <w:r w:rsidRPr="00D44645">
        <w:rPr>
          <w:b/>
          <w:sz w:val="24"/>
          <w:szCs w:val="24"/>
        </w:rPr>
        <w:t>Role of Civil Society</w:t>
      </w:r>
      <w:r>
        <w:rPr>
          <w:b/>
          <w:sz w:val="24"/>
          <w:szCs w:val="24"/>
        </w:rPr>
        <w:t xml:space="preserve"> and Business Associations</w:t>
      </w:r>
      <w:r w:rsidRPr="00D44645">
        <w:rPr>
          <w:sz w:val="24"/>
          <w:szCs w:val="24"/>
        </w:rPr>
        <w:t>: The AGEI will include an explicit role for civil society organizations</w:t>
      </w:r>
      <w:r>
        <w:rPr>
          <w:sz w:val="24"/>
          <w:szCs w:val="24"/>
        </w:rPr>
        <w:t xml:space="preserve"> </w:t>
      </w:r>
      <w:r w:rsidRPr="00D44645">
        <w:rPr>
          <w:sz w:val="24"/>
          <w:szCs w:val="24"/>
        </w:rPr>
        <w:t xml:space="preserve">in third-party monitoring of project implementation. In addition to this formalized role, civil society will be engaged through public hearings and </w:t>
      </w:r>
      <w:r>
        <w:rPr>
          <w:sz w:val="24"/>
          <w:szCs w:val="24"/>
        </w:rPr>
        <w:t>a complaint mechanism</w:t>
      </w:r>
      <w:r w:rsidRPr="00D44645">
        <w:rPr>
          <w:sz w:val="24"/>
          <w:szCs w:val="24"/>
        </w:rPr>
        <w:t xml:space="preserve"> to provide bottom-up feedback on the performance of </w:t>
      </w:r>
      <w:r>
        <w:rPr>
          <w:sz w:val="24"/>
          <w:szCs w:val="24"/>
        </w:rPr>
        <w:t xml:space="preserve">the </w:t>
      </w:r>
      <w:r w:rsidRPr="00D44645">
        <w:rPr>
          <w:sz w:val="24"/>
          <w:szCs w:val="24"/>
        </w:rPr>
        <w:t xml:space="preserve">EF and the T&amp;E providers. </w:t>
      </w:r>
      <w:r>
        <w:rPr>
          <w:sz w:val="24"/>
          <w:szCs w:val="24"/>
        </w:rPr>
        <w:lastRenderedPageBreak/>
        <w:t>Links with the private sector, including business associations and chambers of commerce, will also be strengthened to identify opportunities for placing young women.</w:t>
      </w:r>
    </w:p>
    <w:p w:rsidR="00090CCA" w:rsidRDefault="00090CCA">
      <w:bookmarkStart w:id="3" w:name="_GoBack"/>
      <w:bookmarkEnd w:id="3"/>
    </w:p>
    <w:sectPr w:rsidR="00090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44" w:rsidRDefault="00CA1244" w:rsidP="00CA1244">
      <w:r>
        <w:separator/>
      </w:r>
    </w:p>
  </w:endnote>
  <w:endnote w:type="continuationSeparator" w:id="0">
    <w:p w:rsidR="00CA1244" w:rsidRDefault="00CA1244" w:rsidP="00CA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44" w:rsidRDefault="00CA1244" w:rsidP="00CA1244">
      <w:r>
        <w:separator/>
      </w:r>
    </w:p>
  </w:footnote>
  <w:footnote w:type="continuationSeparator" w:id="0">
    <w:p w:rsidR="00CA1244" w:rsidRDefault="00CA1244" w:rsidP="00CA1244">
      <w:r>
        <w:continuationSeparator/>
      </w:r>
    </w:p>
  </w:footnote>
  <w:footnote w:id="1">
    <w:p w:rsidR="00CA1244" w:rsidRPr="0083717D" w:rsidRDefault="00CA1244" w:rsidP="00CA1244">
      <w:pPr>
        <w:pStyle w:val="FootnoteText"/>
      </w:pPr>
      <w:r w:rsidRPr="0083717D">
        <w:rPr>
          <w:rStyle w:val="FootnoteReference"/>
        </w:rPr>
        <w:footnoteRef/>
      </w:r>
      <w:r w:rsidRPr="0083717D">
        <w:t xml:space="preserve"> </w:t>
      </w:r>
      <w:r w:rsidRPr="0083717D">
        <w:rPr>
          <w:color w:val="000000"/>
        </w:rPr>
        <w:t xml:space="preserve">These amendments </w:t>
      </w:r>
      <w:r>
        <w:rPr>
          <w:color w:val="000000"/>
        </w:rPr>
        <w:t>may</w:t>
      </w:r>
      <w:r w:rsidRPr="0083717D">
        <w:rPr>
          <w:color w:val="000000"/>
        </w:rPr>
        <w:t xml:space="preserve"> include: (i) </w:t>
      </w:r>
      <w:r w:rsidRPr="0083717D">
        <w:t>separation of role</w:t>
      </w:r>
      <w:r>
        <w:t xml:space="preserve">s and authority of the Director, Helvetas- </w:t>
      </w:r>
      <w:r w:rsidRPr="0083717D">
        <w:t>Nepal, as head of the EFS with operational day</w:t>
      </w:r>
      <w:r>
        <w:t xml:space="preserve"> </w:t>
      </w:r>
      <w:r w:rsidRPr="0083717D">
        <w:t>to</w:t>
      </w:r>
      <w:r>
        <w:t xml:space="preserve"> </w:t>
      </w:r>
      <w:r w:rsidRPr="0083717D">
        <w:t xml:space="preserve">day responsibilities for the EFS, from his role as a member of the EFSC providing oversight to the EFS. (ii) adjustments to the quorum and voting procedures of the EFSC to provide a stronger oversight role for the GoN; (iii) inclusion of the </w:t>
      </w:r>
      <w:r>
        <w:t xml:space="preserve">CTEVT, </w:t>
      </w:r>
      <w:r w:rsidRPr="0083717D">
        <w:t>Ministry of Labor</w:t>
      </w:r>
      <w:r>
        <w:t>,</w:t>
      </w:r>
      <w:r w:rsidRPr="0083717D">
        <w:t xml:space="preserve"> and/or the Ministry of Youth on the EFSC; (iv) inclusion of a representative of the private sector on the EFSC;</w:t>
      </w:r>
      <w:r>
        <w:t xml:space="preserve"> (v)</w:t>
      </w:r>
      <w:r w:rsidRPr="0083717D">
        <w:t xml:space="preserve"> </w:t>
      </w:r>
      <w:r>
        <w:t xml:space="preserve">inclusion of a member of an IP organization on the EFSC; </w:t>
      </w:r>
      <w:r w:rsidRPr="0083717D">
        <w:t>(v</w:t>
      </w:r>
      <w:r>
        <w:t>i</w:t>
      </w:r>
      <w:r w:rsidRPr="0083717D">
        <w:t xml:space="preserve">) barring members of the EFSC to bid on EF contracts to avoid conflict of interest; </w:t>
      </w:r>
      <w:r>
        <w:t xml:space="preserve">(vii) non-representation of the T&amp;E providers on the EFSC, even as observers;  </w:t>
      </w:r>
      <w:r w:rsidRPr="0083717D">
        <w:t>(vi</w:t>
      </w:r>
      <w:r>
        <w:t>ii</w:t>
      </w:r>
      <w:r w:rsidRPr="0083717D">
        <w:t>) authorizing a sub-committee of the EFSC to decide on operational matters between the six</w:t>
      </w:r>
      <w:r>
        <w:t xml:space="preserve"> </w:t>
      </w:r>
      <w:r w:rsidRPr="0083717D">
        <w:t>monthly meetings of the EFSC in order to avoid implementation delays</w:t>
      </w:r>
      <w:r>
        <w:t>; (ix) specific arrangements related to financial management and procurement; and (x) special review requirements and alternative assurance arrangements.</w:t>
      </w:r>
    </w:p>
    <w:p w:rsidR="00CA1244" w:rsidRDefault="00CA1244" w:rsidP="00CA1244">
      <w:pPr>
        <w:pStyle w:val="FootnoteText"/>
      </w:pPr>
    </w:p>
  </w:footnote>
  <w:footnote w:id="2">
    <w:p w:rsidR="00CA1244" w:rsidRDefault="00CA1244" w:rsidP="00CA1244">
      <w:pPr>
        <w:pStyle w:val="FootnoteText"/>
      </w:pPr>
      <w:r>
        <w:rPr>
          <w:rStyle w:val="FootnoteReference"/>
        </w:rPr>
        <w:footnoteRef/>
      </w:r>
      <w:r>
        <w:rPr>
          <w:sz w:val="24"/>
          <w:szCs w:val="24"/>
        </w:rPr>
        <w:t xml:space="preserve">  </w:t>
      </w:r>
      <w:r w:rsidRPr="00D53107">
        <w:t xml:space="preserve">However, the Bank </w:t>
      </w:r>
      <w:r>
        <w:t xml:space="preserve">may </w:t>
      </w:r>
      <w:r w:rsidRPr="00D53107">
        <w:t xml:space="preserve">observe </w:t>
      </w:r>
      <w:r>
        <w:t xml:space="preserve">selected </w:t>
      </w:r>
      <w:r w:rsidRPr="00D53107">
        <w:t xml:space="preserve">meetings where </w:t>
      </w:r>
      <w:r>
        <w:t xml:space="preserve">it </w:t>
      </w:r>
      <w:r w:rsidRPr="00D53107">
        <w:t xml:space="preserve">is invited by the EFSC </w:t>
      </w:r>
      <w:r>
        <w:t>as long as it does not pose a conflict of interest.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126"/>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2C807704"/>
    <w:multiLevelType w:val="hybridMultilevel"/>
    <w:tmpl w:val="B130F122"/>
    <w:lvl w:ilvl="0" w:tplc="C1A8DA1E">
      <w:start w:val="1"/>
      <w:numFmt w:val="decimal"/>
      <w:lvlText w:val="%1."/>
      <w:lvlJc w:val="left"/>
      <w:pPr>
        <w:tabs>
          <w:tab w:val="num" w:pos="-1440"/>
        </w:tabs>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44"/>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1244"/>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124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A124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A124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124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A124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CA1244"/>
    <w:rPr>
      <w:rFonts w:ascii="Arial" w:eastAsia="Times New Roman" w:hAnsi="Arial" w:cs="Arial"/>
      <w:b/>
      <w:bCs/>
      <w:sz w:val="26"/>
      <w:szCs w:val="26"/>
    </w:rPr>
  </w:style>
  <w:style w:type="paragraph" w:styleId="FootnoteText">
    <w:name w:val="footnote text"/>
    <w:aliases w:val="single space,ft Char Char,fn,FOOTNOTES,ft,(NECG) Footnote Text,ft1,ADB,Footnote Text Char Char Char,Footnote Text Char Char,Footnote,ALTS FOOTNOTE,Geneva 9,Font: Geneva 9,Boston 10,f,Footnote Text Quote,Footnote text"/>
    <w:basedOn w:val="Normal"/>
    <w:link w:val="FootnoteTextChar1"/>
    <w:uiPriority w:val="99"/>
    <w:rsid w:val="00CA1244"/>
    <w:rPr>
      <w:sz w:val="20"/>
      <w:szCs w:val="20"/>
    </w:rPr>
  </w:style>
  <w:style w:type="character" w:customStyle="1" w:styleId="FootnoteTextChar">
    <w:name w:val="Footnote Text Char"/>
    <w:basedOn w:val="DefaultParagraphFont"/>
    <w:uiPriority w:val="99"/>
    <w:semiHidden/>
    <w:rsid w:val="00CA1244"/>
    <w:rPr>
      <w:rFonts w:ascii="Times New Roman" w:eastAsia="Times New Roman" w:hAnsi="Times New Roman" w:cs="Times New Roman"/>
      <w:sz w:val="20"/>
      <w:szCs w:val="20"/>
    </w:rPr>
  </w:style>
  <w:style w:type="character" w:customStyle="1" w:styleId="FootnoteTextChar1">
    <w:name w:val="Footnote Text Char1"/>
    <w:aliases w:val="single space Char1,ft Char Char Char,fn Char,FOOTNOTES Char,ft Char,(NECG) Footnote Text Char,ft1 Char,ADB Char,Footnote Text Char Char Char Char,Footnote Text Char Char Char1,Footnote Char,ALTS FOOTNOTE Char,Geneva 9 Char,f Char"/>
    <w:basedOn w:val="DefaultParagraphFont"/>
    <w:link w:val="FootnoteText"/>
    <w:uiPriority w:val="99"/>
    <w:locked/>
    <w:rsid w:val="00CA1244"/>
    <w:rPr>
      <w:rFonts w:ascii="Times New Roman" w:eastAsia="Times New Roman" w:hAnsi="Times New Roman" w:cs="Times New Roman"/>
      <w:sz w:val="20"/>
      <w:szCs w:val="20"/>
    </w:rPr>
  </w:style>
  <w:style w:type="character" w:styleId="FootnoteReference">
    <w:name w:val="footnote reference"/>
    <w:aliases w:val="ftref"/>
    <w:basedOn w:val="DefaultParagraphFont"/>
    <w:uiPriority w:val="99"/>
    <w:rsid w:val="00CA1244"/>
    <w:rPr>
      <w:rFonts w:cs="Times New Roman"/>
      <w:vertAlign w:val="superscript"/>
    </w:rPr>
  </w:style>
  <w:style w:type="paragraph" w:styleId="ListParagraph">
    <w:name w:val="List Paragraph"/>
    <w:basedOn w:val="Normal"/>
    <w:uiPriority w:val="99"/>
    <w:qFormat/>
    <w:rsid w:val="00CA1244"/>
    <w:pPr>
      <w:ind w:left="720"/>
    </w:pPr>
  </w:style>
  <w:style w:type="paragraph" w:styleId="Caption">
    <w:name w:val="caption"/>
    <w:basedOn w:val="Normal"/>
    <w:next w:val="Normal"/>
    <w:unhideWhenUsed/>
    <w:qFormat/>
    <w:rsid w:val="00CA1244"/>
    <w:pPr>
      <w:spacing w:after="200"/>
    </w:pPr>
    <w:rPr>
      <w:b/>
      <w:bCs/>
      <w:color w:val="4F81BD"/>
      <w:sz w:val="18"/>
      <w:szCs w:val="18"/>
    </w:rPr>
  </w:style>
  <w:style w:type="paragraph" w:styleId="BalloonText">
    <w:name w:val="Balloon Text"/>
    <w:basedOn w:val="Normal"/>
    <w:link w:val="BalloonTextChar"/>
    <w:uiPriority w:val="99"/>
    <w:semiHidden/>
    <w:unhideWhenUsed/>
    <w:rsid w:val="00CA1244"/>
    <w:rPr>
      <w:rFonts w:ascii="Tahoma" w:hAnsi="Tahoma" w:cs="Tahoma"/>
      <w:sz w:val="16"/>
      <w:szCs w:val="16"/>
    </w:rPr>
  </w:style>
  <w:style w:type="character" w:customStyle="1" w:styleId="BalloonTextChar">
    <w:name w:val="Balloon Text Char"/>
    <w:basedOn w:val="DefaultParagraphFont"/>
    <w:link w:val="BalloonText"/>
    <w:uiPriority w:val="99"/>
    <w:semiHidden/>
    <w:rsid w:val="00CA12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124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A124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A124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124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A124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CA1244"/>
    <w:rPr>
      <w:rFonts w:ascii="Arial" w:eastAsia="Times New Roman" w:hAnsi="Arial" w:cs="Arial"/>
      <w:b/>
      <w:bCs/>
      <w:sz w:val="26"/>
      <w:szCs w:val="26"/>
    </w:rPr>
  </w:style>
  <w:style w:type="paragraph" w:styleId="FootnoteText">
    <w:name w:val="footnote text"/>
    <w:aliases w:val="single space,ft Char Char,fn,FOOTNOTES,ft,(NECG) Footnote Text,ft1,ADB,Footnote Text Char Char Char,Footnote Text Char Char,Footnote,ALTS FOOTNOTE,Geneva 9,Font: Geneva 9,Boston 10,f,Footnote Text Quote,Footnote text"/>
    <w:basedOn w:val="Normal"/>
    <w:link w:val="FootnoteTextChar1"/>
    <w:uiPriority w:val="99"/>
    <w:rsid w:val="00CA1244"/>
    <w:rPr>
      <w:sz w:val="20"/>
      <w:szCs w:val="20"/>
    </w:rPr>
  </w:style>
  <w:style w:type="character" w:customStyle="1" w:styleId="FootnoteTextChar">
    <w:name w:val="Footnote Text Char"/>
    <w:basedOn w:val="DefaultParagraphFont"/>
    <w:uiPriority w:val="99"/>
    <w:semiHidden/>
    <w:rsid w:val="00CA1244"/>
    <w:rPr>
      <w:rFonts w:ascii="Times New Roman" w:eastAsia="Times New Roman" w:hAnsi="Times New Roman" w:cs="Times New Roman"/>
      <w:sz w:val="20"/>
      <w:szCs w:val="20"/>
    </w:rPr>
  </w:style>
  <w:style w:type="character" w:customStyle="1" w:styleId="FootnoteTextChar1">
    <w:name w:val="Footnote Text Char1"/>
    <w:aliases w:val="single space Char1,ft Char Char Char,fn Char,FOOTNOTES Char,ft Char,(NECG) Footnote Text Char,ft1 Char,ADB Char,Footnote Text Char Char Char Char,Footnote Text Char Char Char1,Footnote Char,ALTS FOOTNOTE Char,Geneva 9 Char,f Char"/>
    <w:basedOn w:val="DefaultParagraphFont"/>
    <w:link w:val="FootnoteText"/>
    <w:uiPriority w:val="99"/>
    <w:locked/>
    <w:rsid w:val="00CA1244"/>
    <w:rPr>
      <w:rFonts w:ascii="Times New Roman" w:eastAsia="Times New Roman" w:hAnsi="Times New Roman" w:cs="Times New Roman"/>
      <w:sz w:val="20"/>
      <w:szCs w:val="20"/>
    </w:rPr>
  </w:style>
  <w:style w:type="character" w:styleId="FootnoteReference">
    <w:name w:val="footnote reference"/>
    <w:aliases w:val="ftref"/>
    <w:basedOn w:val="DefaultParagraphFont"/>
    <w:uiPriority w:val="99"/>
    <w:rsid w:val="00CA1244"/>
    <w:rPr>
      <w:rFonts w:cs="Times New Roman"/>
      <w:vertAlign w:val="superscript"/>
    </w:rPr>
  </w:style>
  <w:style w:type="paragraph" w:styleId="ListParagraph">
    <w:name w:val="List Paragraph"/>
    <w:basedOn w:val="Normal"/>
    <w:uiPriority w:val="99"/>
    <w:qFormat/>
    <w:rsid w:val="00CA1244"/>
    <w:pPr>
      <w:ind w:left="720"/>
    </w:pPr>
  </w:style>
  <w:style w:type="paragraph" w:styleId="Caption">
    <w:name w:val="caption"/>
    <w:basedOn w:val="Normal"/>
    <w:next w:val="Normal"/>
    <w:unhideWhenUsed/>
    <w:qFormat/>
    <w:rsid w:val="00CA1244"/>
    <w:pPr>
      <w:spacing w:after="200"/>
    </w:pPr>
    <w:rPr>
      <w:b/>
      <w:bCs/>
      <w:color w:val="4F81BD"/>
      <w:sz w:val="18"/>
      <w:szCs w:val="18"/>
    </w:rPr>
  </w:style>
  <w:style w:type="paragraph" w:styleId="BalloonText">
    <w:name w:val="Balloon Text"/>
    <w:basedOn w:val="Normal"/>
    <w:link w:val="BalloonTextChar"/>
    <w:uiPriority w:val="99"/>
    <w:semiHidden/>
    <w:unhideWhenUsed/>
    <w:rsid w:val="00CA1244"/>
    <w:rPr>
      <w:rFonts w:ascii="Tahoma" w:hAnsi="Tahoma" w:cs="Tahoma"/>
      <w:sz w:val="16"/>
      <w:szCs w:val="16"/>
    </w:rPr>
  </w:style>
  <w:style w:type="character" w:customStyle="1" w:styleId="BalloonTextChar">
    <w:name w:val="Balloon Text Char"/>
    <w:basedOn w:val="DefaultParagraphFont"/>
    <w:link w:val="BalloonText"/>
    <w:uiPriority w:val="99"/>
    <w:semiHidden/>
    <w:rsid w:val="00CA12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2014-10-10T18:47:00Z</dcterms:created>
  <dcterms:modified xsi:type="dcterms:W3CDTF">2014-10-10T18:48:00Z</dcterms:modified>
</cp:coreProperties>
</file>